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FA2AC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4B091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4B0917">
        <w:rPr>
          <w:rFonts w:ascii="Verdana" w:hAnsi="Verdana"/>
          <w:sz w:val="18"/>
          <w:szCs w:val="18"/>
        </w:rPr>
        <w:t xml:space="preserve"> </w:t>
      </w:r>
      <w:r w:rsidR="004B0917" w:rsidRPr="004B0917">
        <w:rPr>
          <w:rFonts w:ascii="Verdana" w:hAnsi="Verdana"/>
          <w:b/>
          <w:sz w:val="18"/>
          <w:szCs w:val="18"/>
        </w:rPr>
        <w:t>„Opravy osobních a nákladních výtahů a plošin v obvodu OŘ PHA 2024-2025“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B0917">
        <w:rPr>
          <w:rFonts w:ascii="Verdana" w:hAnsi="Verdana"/>
          <w:sz w:val="18"/>
          <w:szCs w:val="18"/>
        </w:rPr>
      </w:r>
      <w:r w:rsidR="004B091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B0917">
        <w:rPr>
          <w:rFonts w:ascii="Verdana" w:hAnsi="Verdana"/>
          <w:sz w:val="18"/>
          <w:szCs w:val="18"/>
        </w:rPr>
      </w:r>
      <w:r w:rsidR="004B091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8B1B2F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B091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B091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E3D62E-3DF3-4859-AAC3-D3093DB6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2024-07-10T07:44:00Z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